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DB806" w14:textId="4EBBF171" w:rsidR="00107D72" w:rsidRDefault="00682995" w:rsidP="00682995">
      <w:pPr>
        <w:pStyle w:val="Title"/>
      </w:pPr>
      <w:r>
        <w:t>Investment Name</w:t>
      </w:r>
    </w:p>
    <w:p w14:paraId="1888EF4B" w14:textId="77777777" w:rsidR="00682995" w:rsidRDefault="00682995" w:rsidP="00682995">
      <w:pPr>
        <w:pStyle w:val="Subtitle"/>
      </w:pPr>
      <w:r>
        <w:t>Private Placement Memorandum</w:t>
      </w:r>
    </w:p>
    <w:p w14:paraId="5E6B4F2D" w14:textId="77777777" w:rsidR="00107D72" w:rsidRDefault="00107D72">
      <w:pPr>
        <w:spacing w:after="160" w:line="259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19070076" w14:textId="461994B9" w:rsidR="00107D72" w:rsidRDefault="00107D72" w:rsidP="00682995">
      <w:pPr>
        <w:pStyle w:val="Heading1"/>
      </w:pPr>
      <w:r>
        <w:lastRenderedPageBreak/>
        <w:t>Disclaimer</w:t>
      </w:r>
    </w:p>
    <w:p w14:paraId="55113AD9" w14:textId="1C2A2CD7" w:rsidR="00107D72" w:rsidRDefault="00107D72" w:rsidP="00107D72">
      <w:pPr>
        <w:pStyle w:val="Heading1"/>
      </w:pPr>
      <w:r>
        <w:t>Executive summary</w:t>
      </w:r>
    </w:p>
    <w:p w14:paraId="110B67FC" w14:textId="5ECA697A" w:rsidR="00107D72" w:rsidRDefault="00107D72" w:rsidP="00107D72">
      <w:pPr>
        <w:pStyle w:val="Heading1"/>
      </w:pPr>
      <w:r>
        <w:t>Definitions and interpretation</w:t>
      </w:r>
    </w:p>
    <w:p w14:paraId="7DA0D728" w14:textId="4AAE613C" w:rsidR="00107D72" w:rsidRDefault="00107D72" w:rsidP="00107D72">
      <w:pPr>
        <w:pStyle w:val="Heading1"/>
      </w:pPr>
      <w:r>
        <w:t>1.</w:t>
      </w:r>
      <w:r>
        <w:tab/>
        <w:t>INVESTMENT CASE</w:t>
      </w:r>
    </w:p>
    <w:p w14:paraId="1E6B049B" w14:textId="7FC2CF17" w:rsidR="00107D72" w:rsidRDefault="00107D72" w:rsidP="00107D72">
      <w:pPr>
        <w:pStyle w:val="Heading2"/>
      </w:pPr>
      <w:r>
        <w:t>1.1</w:t>
      </w:r>
      <w:r>
        <w:tab/>
        <w:t xml:space="preserve">Introduction to </w:t>
      </w:r>
      <w:r>
        <w:t>the Investment</w:t>
      </w:r>
    </w:p>
    <w:p w14:paraId="2FA1C830" w14:textId="42933039" w:rsidR="00107D72" w:rsidRDefault="00107D72" w:rsidP="00107D72">
      <w:pPr>
        <w:pStyle w:val="Heading2"/>
      </w:pPr>
      <w:r>
        <w:t>1.2</w:t>
      </w:r>
      <w:r>
        <w:tab/>
        <w:t xml:space="preserve">Sub-sector background: </w:t>
      </w:r>
    </w:p>
    <w:p w14:paraId="6C89ACFB" w14:textId="012E5F76" w:rsidR="00107D72" w:rsidRDefault="00107D72" w:rsidP="00107D72">
      <w:pPr>
        <w:pStyle w:val="Heading2"/>
      </w:pPr>
      <w:r>
        <w:t>1.3</w:t>
      </w:r>
      <w:r>
        <w:tab/>
        <w:t xml:space="preserve">Sub-sector background: </w:t>
      </w:r>
    </w:p>
    <w:p w14:paraId="080A4553" w14:textId="72DFFCC5" w:rsidR="00107D72" w:rsidRDefault="00107D72" w:rsidP="00107D72">
      <w:pPr>
        <w:pStyle w:val="Heading1"/>
      </w:pPr>
      <w:r>
        <w:t>2.</w:t>
      </w:r>
      <w:r>
        <w:tab/>
        <w:t>INVESTMENT STRATEGY</w:t>
      </w:r>
    </w:p>
    <w:p w14:paraId="0D1227E5" w14:textId="1E3D208F" w:rsidR="00107D72" w:rsidRDefault="00107D72" w:rsidP="00107D72">
      <w:pPr>
        <w:pStyle w:val="Heading2"/>
      </w:pPr>
      <w:r>
        <w:t>2.1</w:t>
      </w:r>
      <w:r>
        <w:tab/>
        <w:t>Investment policy</w:t>
      </w:r>
    </w:p>
    <w:p w14:paraId="0C912C26" w14:textId="48EFC2C6" w:rsidR="00107D72" w:rsidRDefault="00107D72" w:rsidP="00107D72">
      <w:pPr>
        <w:pStyle w:val="Heading2"/>
      </w:pPr>
      <w:r>
        <w:t>2.2</w:t>
      </w:r>
      <w:r>
        <w:tab/>
      </w:r>
      <w:r>
        <w:t>C</w:t>
      </w:r>
      <w:r>
        <w:t>riteria when assessing investment opportunities</w:t>
      </w:r>
    </w:p>
    <w:p w14:paraId="38576ADF" w14:textId="090F5937" w:rsidR="00107D72" w:rsidRDefault="00107D72" w:rsidP="00107D72">
      <w:pPr>
        <w:pStyle w:val="Heading2"/>
      </w:pPr>
      <w:r>
        <w:t>2.3</w:t>
      </w:r>
      <w:r>
        <w:tab/>
        <w:t>ESG Policy</w:t>
      </w:r>
    </w:p>
    <w:p w14:paraId="0CABC847" w14:textId="06618583" w:rsidR="00107D72" w:rsidRDefault="00107D72" w:rsidP="00107D72">
      <w:pPr>
        <w:pStyle w:val="Heading2"/>
      </w:pPr>
      <w:r>
        <w:t>2.4</w:t>
      </w:r>
      <w:r>
        <w:tab/>
        <w:t>Portfolio objective</w:t>
      </w:r>
    </w:p>
    <w:p w14:paraId="352F0869" w14:textId="7E993292" w:rsidR="00107D72" w:rsidRDefault="00107D72" w:rsidP="00107D72">
      <w:pPr>
        <w:pStyle w:val="Heading2"/>
      </w:pPr>
      <w:r>
        <w:t>2.5</w:t>
      </w:r>
      <w:r>
        <w:tab/>
        <w:t>Summary of desired portfolio characteristics</w:t>
      </w:r>
      <w:r>
        <w:tab/>
      </w:r>
    </w:p>
    <w:p w14:paraId="68627BF5" w14:textId="6FE77776" w:rsidR="00107D72" w:rsidRDefault="00107D72" w:rsidP="00107D72">
      <w:pPr>
        <w:pStyle w:val="Heading2"/>
      </w:pPr>
      <w:r>
        <w:t>2.6</w:t>
      </w:r>
      <w:r>
        <w:tab/>
        <w:t>Investment decision framework and investment process</w:t>
      </w:r>
      <w:r>
        <w:tab/>
      </w:r>
    </w:p>
    <w:p w14:paraId="253A61B6" w14:textId="523FC809" w:rsidR="00107D72" w:rsidRDefault="00107D72" w:rsidP="00107D72">
      <w:pPr>
        <w:pStyle w:val="Heading1"/>
      </w:pPr>
      <w:r>
        <w:t>3.</w:t>
      </w:r>
      <w:r>
        <w:tab/>
      </w:r>
      <w:r>
        <w:t>INVESTMENT STRUCTURE</w:t>
      </w:r>
      <w:r>
        <w:t>, MANAGEMENT AND GOVERNANCE</w:t>
      </w:r>
    </w:p>
    <w:p w14:paraId="4BC358AF" w14:textId="3CC7691C" w:rsidR="00107D72" w:rsidRDefault="00107D72" w:rsidP="00107D72">
      <w:pPr>
        <w:pStyle w:val="Heading2"/>
      </w:pPr>
      <w:r>
        <w:t>3.1</w:t>
      </w:r>
      <w:r>
        <w:tab/>
        <w:t>Structure and governance of the Fun</w:t>
      </w:r>
      <w:r>
        <w:t>d</w:t>
      </w:r>
    </w:p>
    <w:p w14:paraId="7391F064" w14:textId="77777777" w:rsidR="00107D72" w:rsidRDefault="00107D72" w:rsidP="00107D72">
      <w:pPr>
        <w:pStyle w:val="Heading2"/>
      </w:pPr>
      <w:r>
        <w:t>3.2</w:t>
      </w:r>
      <w:r>
        <w:tab/>
        <w:t>General Partner</w:t>
      </w:r>
      <w:r>
        <w:tab/>
      </w:r>
    </w:p>
    <w:p w14:paraId="23F6D679" w14:textId="26653B92" w:rsidR="00107D72" w:rsidRDefault="00107D72" w:rsidP="00107D72">
      <w:pPr>
        <w:pStyle w:val="Heading2"/>
      </w:pPr>
      <w:r>
        <w:t>3.3</w:t>
      </w:r>
      <w:r>
        <w:tab/>
        <w:t>Manager</w:t>
      </w:r>
    </w:p>
    <w:p w14:paraId="4F8E98D4" w14:textId="0278B0B0" w:rsidR="00107D72" w:rsidRDefault="00107D72" w:rsidP="00107D72">
      <w:pPr>
        <w:pStyle w:val="Heading1"/>
      </w:pPr>
      <w:r>
        <w:t>4.</w:t>
      </w:r>
      <w:r>
        <w:tab/>
        <w:t>INVESTMENT ALLOCATION AND CONFLICTS OF INTEREST</w:t>
      </w:r>
    </w:p>
    <w:p w14:paraId="2C89D1B0" w14:textId="6915F1D5" w:rsidR="00107D72" w:rsidRDefault="00107D72" w:rsidP="00107D72">
      <w:pPr>
        <w:pStyle w:val="Heading1"/>
      </w:pPr>
      <w:r>
        <w:lastRenderedPageBreak/>
        <w:t>5.</w:t>
      </w:r>
      <w:r>
        <w:tab/>
        <w:t>TAXATION</w:t>
      </w:r>
      <w:r>
        <w:tab/>
      </w:r>
    </w:p>
    <w:p w14:paraId="3E3E0A28" w14:textId="54E76A93" w:rsidR="00107D72" w:rsidRDefault="00107D72" w:rsidP="00107D72">
      <w:pPr>
        <w:pStyle w:val="Heading1"/>
      </w:pPr>
      <w:r>
        <w:t>6.</w:t>
      </w:r>
      <w:r>
        <w:tab/>
        <w:t>RISKS AND COMPLIANCE</w:t>
      </w:r>
    </w:p>
    <w:p w14:paraId="6D18635D" w14:textId="7B13769A" w:rsidR="00107D72" w:rsidRDefault="00107D72" w:rsidP="00107D72">
      <w:pPr>
        <w:pStyle w:val="Heading2"/>
      </w:pPr>
      <w:r>
        <w:t>6.1</w:t>
      </w:r>
      <w:r>
        <w:tab/>
        <w:t>General</w:t>
      </w:r>
    </w:p>
    <w:p w14:paraId="5BA8E7E3" w14:textId="31508668" w:rsidR="00107D72" w:rsidRDefault="00107D72" w:rsidP="00107D72">
      <w:pPr>
        <w:pStyle w:val="Heading2"/>
      </w:pPr>
      <w:r>
        <w:t>6.2</w:t>
      </w:r>
      <w:r>
        <w:tab/>
        <w:t>Macroeconomic uncertainty and industry specific factors</w:t>
      </w:r>
    </w:p>
    <w:p w14:paraId="79D4C81A" w14:textId="01499F2D" w:rsidR="00107D72" w:rsidRDefault="00107D72" w:rsidP="00107D72">
      <w:pPr>
        <w:pStyle w:val="Heading2"/>
      </w:pPr>
      <w:r>
        <w:t>6.3</w:t>
      </w:r>
      <w:r>
        <w:tab/>
        <w:t>Business risks</w:t>
      </w:r>
    </w:p>
    <w:p w14:paraId="730D8913" w14:textId="673B3754" w:rsidR="00107D72" w:rsidRDefault="00107D72" w:rsidP="00107D72">
      <w:pPr>
        <w:pStyle w:val="Heading2"/>
      </w:pPr>
      <w:r>
        <w:t>6.4</w:t>
      </w:r>
      <w:r>
        <w:tab/>
        <w:t>Failure to achieve investment objectives</w:t>
      </w:r>
    </w:p>
    <w:p w14:paraId="69509303" w14:textId="422D2EEC" w:rsidR="00107D72" w:rsidRDefault="00107D72" w:rsidP="00107D72">
      <w:pPr>
        <w:pStyle w:val="Heading2"/>
      </w:pPr>
      <w:r>
        <w:t>6.5</w:t>
      </w:r>
      <w:r>
        <w:tab/>
        <w:t>Leverage and financial risk</w:t>
      </w:r>
    </w:p>
    <w:p w14:paraId="5324D6B2" w14:textId="59756222" w:rsidR="00107D72" w:rsidRDefault="00107D72" w:rsidP="00107D72">
      <w:pPr>
        <w:pStyle w:val="Heading2"/>
      </w:pPr>
      <w:r>
        <w:t>6.6</w:t>
      </w:r>
      <w:r>
        <w:tab/>
        <w:t>Diversification</w:t>
      </w:r>
    </w:p>
    <w:p w14:paraId="474D4720" w14:textId="288F5484" w:rsidR="00107D72" w:rsidRDefault="00107D72" w:rsidP="00107D72">
      <w:pPr>
        <w:pStyle w:val="Heading2"/>
      </w:pPr>
      <w:r>
        <w:t>6.7</w:t>
      </w:r>
      <w:r>
        <w:tab/>
        <w:t>Execution risk</w:t>
      </w:r>
    </w:p>
    <w:p w14:paraId="7AAE7601" w14:textId="62136C11" w:rsidR="00107D72" w:rsidRDefault="00107D72" w:rsidP="00107D72">
      <w:pPr>
        <w:pStyle w:val="Heading2"/>
      </w:pPr>
      <w:r>
        <w:t>6.8</w:t>
      </w:r>
      <w:r>
        <w:tab/>
        <w:t>Competition for Investments</w:t>
      </w:r>
    </w:p>
    <w:p w14:paraId="11F20D56" w14:textId="7777CC0A" w:rsidR="00107D72" w:rsidRDefault="00107D72" w:rsidP="00107D72">
      <w:pPr>
        <w:pStyle w:val="Heading2"/>
      </w:pPr>
      <w:r>
        <w:t>6.9</w:t>
      </w:r>
      <w:r>
        <w:tab/>
        <w:t>Illiquidity of investment</w:t>
      </w:r>
    </w:p>
    <w:p w14:paraId="0DF65138" w14:textId="0871F871" w:rsidR="00107D72" w:rsidRDefault="00107D72" w:rsidP="00107D72">
      <w:pPr>
        <w:pStyle w:val="Heading2"/>
      </w:pPr>
      <w:r>
        <w:t>6.10</w:t>
      </w:r>
      <w:r>
        <w:tab/>
        <w:t>Reliance on the Manager and Key Persons</w:t>
      </w:r>
    </w:p>
    <w:p w14:paraId="3D9694EE" w14:textId="29287758" w:rsidR="00107D72" w:rsidRDefault="00107D72" w:rsidP="00107D72">
      <w:pPr>
        <w:pStyle w:val="Heading2"/>
      </w:pPr>
      <w:r>
        <w:t>6.11</w:t>
      </w:r>
      <w:r>
        <w:tab/>
        <w:t>Limited information available to Investors</w:t>
      </w:r>
    </w:p>
    <w:p w14:paraId="54DC4228" w14:textId="49D133CB" w:rsidR="00107D72" w:rsidRDefault="00107D72" w:rsidP="00107D72">
      <w:pPr>
        <w:pStyle w:val="Heading2"/>
      </w:pPr>
      <w:r>
        <w:t>6.12</w:t>
      </w:r>
      <w:r>
        <w:tab/>
        <w:t>Minority interests</w:t>
      </w:r>
    </w:p>
    <w:p w14:paraId="20E2CE40" w14:textId="5D4EADA7" w:rsidR="00107D72" w:rsidRDefault="00107D72" w:rsidP="00107D72">
      <w:pPr>
        <w:pStyle w:val="Heading2"/>
      </w:pPr>
      <w:r>
        <w:t>6.13</w:t>
      </w:r>
      <w:r>
        <w:tab/>
        <w:t>Significant adverse consequences for default</w:t>
      </w:r>
    </w:p>
    <w:p w14:paraId="380F3F4C" w14:textId="027383F9" w:rsidR="00107D72" w:rsidRDefault="00107D72" w:rsidP="00107D72">
      <w:pPr>
        <w:pStyle w:val="Heading2"/>
      </w:pPr>
      <w:r>
        <w:t>6.14</w:t>
      </w:r>
      <w:r>
        <w:tab/>
        <w:t>Market for portfolio companies</w:t>
      </w:r>
    </w:p>
    <w:p w14:paraId="3BFC1C7A" w14:textId="588767E5" w:rsidR="00107D72" w:rsidRDefault="00107D72" w:rsidP="00107D72">
      <w:pPr>
        <w:pStyle w:val="Heading2"/>
      </w:pPr>
      <w:r>
        <w:t>6.15</w:t>
      </w:r>
      <w:r>
        <w:tab/>
        <w:t>Legal, tax and regulatory risks</w:t>
      </w:r>
    </w:p>
    <w:p w14:paraId="51DD544D" w14:textId="51F57426" w:rsidR="00107D72" w:rsidRDefault="00107D72" w:rsidP="00107D72">
      <w:pPr>
        <w:pStyle w:val="Heading2"/>
      </w:pPr>
      <w:r>
        <w:t>6.16</w:t>
      </w:r>
      <w:r>
        <w:tab/>
        <w:t>Conflicts of interest</w:t>
      </w:r>
    </w:p>
    <w:p w14:paraId="32F801F6" w14:textId="504FE28D" w:rsidR="00107D72" w:rsidRDefault="00107D72" w:rsidP="00107D72">
      <w:pPr>
        <w:pStyle w:val="Heading2"/>
      </w:pPr>
      <w:r>
        <w:t>6.17</w:t>
      </w:r>
      <w:r>
        <w:tab/>
        <w:t>Follow-on investments</w:t>
      </w:r>
    </w:p>
    <w:p w14:paraId="6F701B19" w14:textId="26618DD3" w:rsidR="00107D72" w:rsidRDefault="00107D72" w:rsidP="00107D72">
      <w:pPr>
        <w:pStyle w:val="Heading1"/>
      </w:pPr>
      <w:r>
        <w:t>7.</w:t>
      </w:r>
      <w:r>
        <w:tab/>
        <w:t>SUMMARY OF KEY FUND TERMS</w:t>
      </w:r>
      <w:r>
        <w:tab/>
      </w:r>
    </w:p>
    <w:p w14:paraId="3ACC7B07" w14:textId="2459623B" w:rsidR="00107D72" w:rsidRDefault="00107D72" w:rsidP="00107D72">
      <w:pPr>
        <w:pStyle w:val="Heading1"/>
      </w:pPr>
      <w:r>
        <w:t>ANNEXURE</w:t>
      </w:r>
      <w:r>
        <w:t>S</w:t>
      </w:r>
      <w:r>
        <w:tab/>
      </w:r>
    </w:p>
    <w:p w14:paraId="29BA1066" w14:textId="77777777" w:rsidR="0097039E" w:rsidRPr="00107D72" w:rsidRDefault="0097039E" w:rsidP="00107D72"/>
    <w:sectPr w:rsidR="0097039E" w:rsidRPr="00107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680BD" w14:textId="77777777" w:rsidR="00EF7EE8" w:rsidRDefault="00EF7EE8" w:rsidP="003723D2">
      <w:r>
        <w:separator/>
      </w:r>
    </w:p>
  </w:endnote>
  <w:endnote w:type="continuationSeparator" w:id="0">
    <w:p w14:paraId="5F80B505" w14:textId="77777777" w:rsidR="00EF7EE8" w:rsidRDefault="00EF7EE8" w:rsidP="0037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68C5F" w14:textId="77777777" w:rsidR="00EF7EE8" w:rsidRDefault="00EF7EE8" w:rsidP="003723D2">
      <w:r>
        <w:separator/>
      </w:r>
    </w:p>
  </w:footnote>
  <w:footnote w:type="continuationSeparator" w:id="0">
    <w:p w14:paraId="5EFC05BF" w14:textId="77777777" w:rsidR="00EF7EE8" w:rsidRDefault="00EF7EE8" w:rsidP="0037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90198"/>
    <w:multiLevelType w:val="hybridMultilevel"/>
    <w:tmpl w:val="81285A0E"/>
    <w:lvl w:ilvl="0" w:tplc="84E4B6A4">
      <w:start w:val="1"/>
      <w:numFmt w:val="decimal"/>
      <w:lvlText w:val="%1."/>
      <w:lvlJc w:val="left"/>
      <w:pPr>
        <w:tabs>
          <w:tab w:val="num" w:pos="284"/>
        </w:tabs>
        <w:ind w:left="284" w:hanging="2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1" w15:restartNumberingAfterBreak="0">
    <w:nsid w:val="2D40224B"/>
    <w:multiLevelType w:val="hybridMultilevel"/>
    <w:tmpl w:val="A3FC688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8657B5"/>
    <w:multiLevelType w:val="hybridMultilevel"/>
    <w:tmpl w:val="18AA7ED6"/>
    <w:lvl w:ilvl="0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 w16cid:durableId="865404366">
    <w:abstractNumId w:val="0"/>
  </w:num>
  <w:num w:numId="2" w16cid:durableId="351347882">
    <w:abstractNumId w:val="2"/>
  </w:num>
  <w:num w:numId="3" w16cid:durableId="4714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AE"/>
    <w:rsid w:val="00053840"/>
    <w:rsid w:val="000E4CDA"/>
    <w:rsid w:val="000E647E"/>
    <w:rsid w:val="000F0FC3"/>
    <w:rsid w:val="00107D72"/>
    <w:rsid w:val="00115593"/>
    <w:rsid w:val="00145118"/>
    <w:rsid w:val="00167F91"/>
    <w:rsid w:val="00192201"/>
    <w:rsid w:val="00220AC1"/>
    <w:rsid w:val="003723D2"/>
    <w:rsid w:val="004A7EBF"/>
    <w:rsid w:val="004D34DA"/>
    <w:rsid w:val="005524CC"/>
    <w:rsid w:val="005851FC"/>
    <w:rsid w:val="00616588"/>
    <w:rsid w:val="0062552D"/>
    <w:rsid w:val="00661B1B"/>
    <w:rsid w:val="00682995"/>
    <w:rsid w:val="006C16CF"/>
    <w:rsid w:val="00783E5A"/>
    <w:rsid w:val="00791E5C"/>
    <w:rsid w:val="00842436"/>
    <w:rsid w:val="00846F53"/>
    <w:rsid w:val="0097039E"/>
    <w:rsid w:val="009A38BB"/>
    <w:rsid w:val="009E6CD5"/>
    <w:rsid w:val="00A0474E"/>
    <w:rsid w:val="00A13188"/>
    <w:rsid w:val="00A478CC"/>
    <w:rsid w:val="00B26C5F"/>
    <w:rsid w:val="00B60A55"/>
    <w:rsid w:val="00C31DA2"/>
    <w:rsid w:val="00C613F0"/>
    <w:rsid w:val="00C82FAA"/>
    <w:rsid w:val="00CC5E8D"/>
    <w:rsid w:val="00CD238F"/>
    <w:rsid w:val="00CF1D79"/>
    <w:rsid w:val="00D25DDA"/>
    <w:rsid w:val="00DC2A8E"/>
    <w:rsid w:val="00E011DD"/>
    <w:rsid w:val="00E35EAE"/>
    <w:rsid w:val="00E628C9"/>
    <w:rsid w:val="00E64A3D"/>
    <w:rsid w:val="00EF7EE8"/>
    <w:rsid w:val="00EF7F50"/>
    <w:rsid w:val="00FA1913"/>
    <w:rsid w:val="00FB3150"/>
    <w:rsid w:val="00FC2D35"/>
    <w:rsid w:val="00F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5989"/>
  <w15:chartTrackingRefBased/>
  <w15:docId w15:val="{66F52260-D104-4DA8-B80E-63920F33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EAE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E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E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E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E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5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E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EAE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3D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3D2"/>
    <w:rPr>
      <w:rFonts w:ascii="Arial" w:eastAsia="Times New Roman" w:hAnsi="Arial" w:cs="Arial"/>
      <w:color w:val="000000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723D2"/>
    <w:rPr>
      <w:vertAlign w:val="superscript"/>
    </w:rPr>
  </w:style>
  <w:style w:type="paragraph" w:styleId="BodyTextIndent2">
    <w:name w:val="Body Text Indent 2"/>
    <w:basedOn w:val="Normal"/>
    <w:link w:val="BodyTextIndent2Char"/>
    <w:rsid w:val="00783E5A"/>
    <w:pPr>
      <w:ind w:left="1080"/>
    </w:pPr>
    <w:rPr>
      <w:rFonts w:cs="Times New Roman"/>
      <w:color w:val="auto"/>
      <w:spacing w:val="-5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83E5A"/>
    <w:rPr>
      <w:rFonts w:ascii="Arial" w:eastAsia="Times New Roman" w:hAnsi="Arial" w:cs="Times New Roman"/>
      <w:spacing w:val="-5"/>
      <w:kern w:val="0"/>
      <w:sz w:val="24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783E5A"/>
    <w:pPr>
      <w:spacing w:after="120"/>
    </w:pPr>
    <w:rPr>
      <w:rFonts w:ascii="Times New Roman" w:hAnsi="Times New Roman" w:cs="Times New Roman"/>
      <w:color w:val="auto"/>
      <w:sz w:val="24"/>
      <w:lang w:val="en-ZA" w:eastAsia="en-ZA"/>
    </w:rPr>
  </w:style>
  <w:style w:type="character" w:customStyle="1" w:styleId="BodyTextChar">
    <w:name w:val="Body Text Char"/>
    <w:basedOn w:val="DefaultParagraphFont"/>
    <w:link w:val="BodyText"/>
    <w:rsid w:val="00783E5A"/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styleId="PageNumber">
    <w:name w:val="page number"/>
    <w:rsid w:val="00783E5A"/>
    <w:rPr>
      <w:rFonts w:ascii="Arial Black" w:hAnsi="Arial Black"/>
      <w:spacing w:val="-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3535-28CC-431D-B2F2-F8AA59EA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SPACE Report</vt:lpstr>
    </vt:vector>
  </TitlesOfParts>
  <Company>Inventive Integration 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SPACE Report</dc:title>
  <dc:subject>Scope, Planning and Cost Estimate</dc:subject>
  <dc:creator>Brian Ireland</dc:creator>
  <cp:keywords>Project Brief, SPACE Report, FEL-3, Front-End Loading</cp:keywords>
  <dc:description/>
  <cp:lastModifiedBy>Brian Ireland</cp:lastModifiedBy>
  <cp:revision>4</cp:revision>
  <dcterms:created xsi:type="dcterms:W3CDTF">2025-03-13T07:02:00Z</dcterms:created>
  <dcterms:modified xsi:type="dcterms:W3CDTF">2025-03-13T07:10:00Z</dcterms:modified>
</cp:coreProperties>
</file>